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9E" w:rsidRDefault="00F7519E"/>
    <w:tbl>
      <w:tblPr>
        <w:tblW w:w="10278" w:type="dxa"/>
        <w:tblInd w:w="-56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78"/>
      </w:tblGrid>
      <w:tr w:rsidR="00F7519E" w:rsidRPr="00A925A3" w:rsidTr="000679C7">
        <w:trPr>
          <w:trHeight w:val="1635"/>
        </w:trPr>
        <w:tc>
          <w:tcPr>
            <w:tcW w:w="10278" w:type="dxa"/>
            <w:shd w:val="clear" w:color="auto" w:fill="FFFFFF"/>
          </w:tcPr>
          <w:p w:rsidR="002E4F35" w:rsidRPr="00A925A3" w:rsidRDefault="002E4F35" w:rsidP="0092660B">
            <w:pPr>
              <w:spacing w:before="0" w:after="0" w:line="240" w:lineRule="auto"/>
              <w:rPr>
                <w:rFonts w:cs="Calibri"/>
                <w:b/>
                <w:color w:val="000000"/>
                <w:lang w:eastAsia="fr-FR"/>
              </w:rPr>
            </w:pPr>
          </w:p>
          <w:p w:rsidR="002E4F35" w:rsidRPr="00A925A3" w:rsidRDefault="002E4F35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</w:p>
          <w:p w:rsidR="00EA293A" w:rsidRPr="00A925A3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lang w:eastAsia="fr-FR"/>
              </w:rPr>
              <w:t>RISTOURNE</w:t>
            </w:r>
          </w:p>
          <w:p w:rsidR="00F7519E" w:rsidRPr="00A925A3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lang w:eastAsia="fr-FR"/>
              </w:rPr>
              <w:t>(</w:t>
            </w:r>
            <w:r w:rsidR="00F7519E" w:rsidRPr="00A925A3">
              <w:rPr>
                <w:rFonts w:cs="Calibri"/>
                <w:b/>
                <w:color w:val="000000"/>
                <w:lang w:eastAsia="fr-FR"/>
              </w:rPr>
              <w:t xml:space="preserve">POURCENTAGE DE </w:t>
            </w:r>
            <w:r w:rsidR="002E4F35" w:rsidRPr="00A925A3">
              <w:rPr>
                <w:rFonts w:cs="Calibri"/>
                <w:b/>
                <w:color w:val="000000"/>
                <w:lang w:eastAsia="fr-FR"/>
              </w:rPr>
              <w:t>RISTOURNE</w:t>
            </w:r>
            <w:r w:rsidR="00F7519E" w:rsidRPr="00A925A3">
              <w:rPr>
                <w:rFonts w:cs="Calibri"/>
                <w:b/>
                <w:color w:val="000000"/>
                <w:lang w:eastAsia="fr-FR"/>
              </w:rPr>
              <w:t xml:space="preserve"> SUR LE CHIFFRE D’AFFAIRES</w:t>
            </w:r>
            <w:r w:rsidRPr="00A925A3">
              <w:rPr>
                <w:rFonts w:cs="Calibri"/>
                <w:b/>
                <w:color w:val="000000"/>
                <w:lang w:eastAsia="fr-FR"/>
              </w:rPr>
              <w:t>)</w:t>
            </w:r>
          </w:p>
          <w:p w:rsidR="00F7519E" w:rsidRPr="00A925A3" w:rsidRDefault="00F7519E" w:rsidP="00A925A3">
            <w:pPr>
              <w:spacing w:before="0" w:after="240" w:line="240" w:lineRule="auto"/>
              <w:rPr>
                <w:rFonts w:cs="Calibri"/>
                <w:b/>
                <w:color w:val="000000"/>
                <w:lang w:eastAsia="fr-FR"/>
              </w:rPr>
            </w:pPr>
          </w:p>
        </w:tc>
      </w:tr>
    </w:tbl>
    <w:p w:rsidR="00FE72B5" w:rsidRPr="00A925A3" w:rsidRDefault="00FE72B5" w:rsidP="00FE72B5">
      <w:pPr>
        <w:spacing w:before="0" w:after="0" w:line="276" w:lineRule="auto"/>
        <w:rPr>
          <w:rFonts w:ascii="Corbel" w:hAnsi="Corbel"/>
        </w:rPr>
      </w:pPr>
      <w:r w:rsidRPr="00A925A3">
        <w:rPr>
          <w:rFonts w:ascii="Corbel" w:hAnsi="Corbel"/>
          <w:b/>
          <w:u w:val="single"/>
        </w:rPr>
        <w:t>Lot(s)</w:t>
      </w:r>
      <w:r w:rsidR="0096428F">
        <w:rPr>
          <w:rFonts w:ascii="Corbel" w:hAnsi="Corbel"/>
          <w:b/>
          <w:u w:val="single"/>
        </w:rPr>
        <w:t xml:space="preserve"> sans ristournes</w:t>
      </w:r>
      <w:r w:rsidR="00A925A3" w:rsidRPr="00A925A3">
        <w:rPr>
          <w:rFonts w:ascii="Corbel" w:hAnsi="Corbel"/>
          <w:b/>
          <w:u w:val="single"/>
        </w:rPr>
        <w:t xml:space="preserve"> imposé</w:t>
      </w:r>
      <w:r w:rsidR="0096428F">
        <w:rPr>
          <w:rFonts w:ascii="Corbel" w:hAnsi="Corbel"/>
          <w:b/>
          <w:u w:val="single"/>
        </w:rPr>
        <w:t>e</w:t>
      </w:r>
      <w:r w:rsidR="00A925A3" w:rsidRPr="00A925A3">
        <w:rPr>
          <w:rFonts w:ascii="Corbel" w:hAnsi="Corbel"/>
          <w:b/>
          <w:u w:val="single"/>
        </w:rPr>
        <w:t>s</w:t>
      </w:r>
      <w:r w:rsidR="00A925A3" w:rsidRPr="00A925A3">
        <w:rPr>
          <w:rFonts w:ascii="Corbel" w:hAnsi="Corbel"/>
        </w:rPr>
        <w:t xml:space="preserve"> </w:t>
      </w:r>
      <w:r w:rsidRPr="00A925A3">
        <w:rPr>
          <w:rFonts w:ascii="Corbel" w:hAnsi="Corbel"/>
        </w:rPr>
        <w:t xml:space="preserve">: </w:t>
      </w:r>
    </w:p>
    <w:p w:rsidR="00F7519E" w:rsidRPr="00A925A3" w:rsidRDefault="00F7519E"/>
    <w:tbl>
      <w:tblPr>
        <w:tblW w:w="10350" w:type="dxa"/>
        <w:tblInd w:w="-63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39"/>
        <w:gridCol w:w="1276"/>
        <w:gridCol w:w="2268"/>
        <w:gridCol w:w="2268"/>
        <w:gridCol w:w="1499"/>
      </w:tblGrid>
      <w:tr w:rsidR="00142982" w:rsidRPr="00C92A3D" w:rsidTr="0096428F">
        <w:trPr>
          <w:trHeight w:val="806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42982" w:rsidRPr="00C92A3D" w:rsidRDefault="00142982" w:rsidP="006F41D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highlight w:val="yellow"/>
                <w:lang w:eastAsia="fr-FR"/>
              </w:rPr>
            </w:pPr>
            <w:r w:rsidRPr="00C92A3D">
              <w:rPr>
                <w:rFonts w:cs="Calibri"/>
                <w:b/>
                <w:color w:val="000000"/>
                <w:highlight w:val="yellow"/>
                <w:lang w:eastAsia="fr-FR"/>
              </w:rPr>
              <w:t>Chiffre d'Affaires en € HT réalisé au CHU de Montpellier</w:t>
            </w:r>
            <w:r w:rsidR="006F41D2" w:rsidRPr="00C92A3D">
              <w:rPr>
                <w:rFonts w:ascii="Corbel" w:hAnsi="Corbel" w:cs="Calibri"/>
                <w:b/>
                <w:color w:val="000000"/>
                <w:highlight w:val="yellow"/>
              </w:rPr>
              <w:t xml:space="preserve"> sur la durée totale du marché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C92A3D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highlight w:val="yellow"/>
                <w:lang w:eastAsia="fr-FR"/>
              </w:rPr>
            </w:pPr>
            <w:r w:rsidRPr="00C92A3D">
              <w:rPr>
                <w:rFonts w:cs="Calibri"/>
                <w:b/>
                <w:color w:val="000000"/>
                <w:highlight w:val="yellow"/>
                <w:lang w:eastAsia="fr-FR"/>
              </w:rPr>
              <w:t>&lt; XXX  €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C92A3D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highlight w:val="yellow"/>
                <w:lang w:eastAsia="fr-FR"/>
              </w:rPr>
            </w:pPr>
            <w:r w:rsidRPr="00C92A3D">
              <w:rPr>
                <w:rFonts w:cs="Calibri"/>
                <w:b/>
                <w:color w:val="000000"/>
                <w:highlight w:val="yellow"/>
                <w:lang w:eastAsia="fr-FR"/>
              </w:rPr>
              <w:t xml:space="preserve">XXX € ≤CA&lt; XXX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C92A3D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highlight w:val="yellow"/>
                <w:lang w:eastAsia="fr-FR"/>
              </w:rPr>
            </w:pPr>
            <w:r w:rsidRPr="00C92A3D">
              <w:rPr>
                <w:rFonts w:cs="Calibri"/>
                <w:b/>
                <w:color w:val="000000"/>
                <w:highlight w:val="yellow"/>
                <w:lang w:eastAsia="fr-FR"/>
              </w:rPr>
              <w:t>XXX € ≤CA&lt; XXX €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2982" w:rsidRPr="00C92A3D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highlight w:val="yellow"/>
                <w:lang w:eastAsia="fr-FR"/>
              </w:rPr>
            </w:pPr>
            <w:r w:rsidRPr="00C92A3D">
              <w:rPr>
                <w:rFonts w:cs="Calibri"/>
                <w:b/>
                <w:color w:val="000000"/>
                <w:highlight w:val="yellow"/>
                <w:lang w:eastAsia="fr-FR"/>
              </w:rPr>
              <w:t xml:space="preserve">XXX € ≤ </w:t>
            </w:r>
          </w:p>
        </w:tc>
      </w:tr>
      <w:tr w:rsidR="00142982" w:rsidRPr="00C92A3D" w:rsidTr="0096428F">
        <w:trPr>
          <w:trHeight w:val="806"/>
        </w:trPr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42982" w:rsidRPr="00C92A3D" w:rsidRDefault="00142982" w:rsidP="00CC3520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highlight w:val="yellow"/>
                <w:lang w:eastAsia="fr-FR"/>
              </w:rPr>
            </w:pPr>
            <w:r w:rsidRPr="00C92A3D">
              <w:rPr>
                <w:rFonts w:cs="Calibri"/>
                <w:b/>
                <w:color w:val="000000"/>
                <w:highlight w:val="yellow"/>
                <w:lang w:eastAsia="fr-FR"/>
              </w:rPr>
              <w:t>% de r</w:t>
            </w:r>
            <w:r w:rsidR="00CC3520">
              <w:rPr>
                <w:rFonts w:cs="Calibri"/>
                <w:b/>
                <w:color w:val="000000"/>
                <w:highlight w:val="yellow"/>
                <w:lang w:eastAsia="fr-FR"/>
              </w:rPr>
              <w:t>istourne</w:t>
            </w:r>
            <w:r w:rsidRPr="00C92A3D">
              <w:rPr>
                <w:rFonts w:cs="Calibri"/>
                <w:b/>
                <w:color w:val="000000"/>
                <w:highlight w:val="yellow"/>
                <w:lang w:eastAsia="fr-FR"/>
              </w:rPr>
              <w:t xml:space="preserve"> sur le CA accordé</w:t>
            </w:r>
            <w:r w:rsidR="0081608F" w:rsidRPr="00C92A3D">
              <w:rPr>
                <w:rFonts w:cs="Calibri"/>
                <w:b/>
                <w:color w:val="000000"/>
                <w:highlight w:val="yellow"/>
                <w:lang w:eastAsia="fr-FR"/>
              </w:rPr>
              <w:t>*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C92A3D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highlight w:val="yellow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C92A3D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highlight w:val="yellow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C92A3D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highlight w:val="yellow"/>
                <w:lang w:eastAsia="fr-F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2982" w:rsidRPr="00C92A3D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highlight w:val="yellow"/>
                <w:lang w:eastAsia="fr-FR"/>
              </w:rPr>
            </w:pPr>
          </w:p>
        </w:tc>
      </w:tr>
    </w:tbl>
    <w:p w:rsidR="00F7519E" w:rsidRPr="00C92A3D" w:rsidRDefault="00F7519E" w:rsidP="0073392A">
      <w:pPr>
        <w:ind w:firstLine="708"/>
        <w:rPr>
          <w:b/>
          <w:highlight w:val="yellow"/>
        </w:rPr>
      </w:pPr>
    </w:p>
    <w:p w:rsidR="00271466" w:rsidRPr="00BE5AC1" w:rsidRDefault="00FB64A4" w:rsidP="00271466">
      <w:pPr>
        <w:rPr>
          <w:rFonts w:asciiTheme="minorHAnsi" w:hAnsiTheme="minorHAnsi" w:cstheme="minorHAnsi"/>
          <w:b/>
          <w:i/>
        </w:rPr>
      </w:pPr>
      <w:r w:rsidRPr="00FB64A4">
        <w:rPr>
          <w:rFonts w:cs="Calibri"/>
          <w:b/>
          <w:color w:val="000000"/>
          <w:lang w:eastAsia="fr-FR"/>
        </w:rPr>
        <w:t>*</w:t>
      </w:r>
      <w:r w:rsidR="00271466" w:rsidRPr="00FB64A4">
        <w:rPr>
          <w:rFonts w:asciiTheme="minorHAnsi" w:hAnsiTheme="minorHAnsi" w:cstheme="minorHAnsi"/>
          <w:b/>
          <w:i/>
        </w:rPr>
        <w:t>L’absence de renseignement du pourcentage de Ristourne (RFA) ou l’absence de remise du document</w:t>
      </w:r>
      <w:r w:rsidR="00271466" w:rsidRPr="00BE5AC1">
        <w:rPr>
          <w:rFonts w:asciiTheme="minorHAnsi" w:hAnsiTheme="minorHAnsi" w:cstheme="minorHAnsi"/>
          <w:b/>
          <w:i/>
        </w:rPr>
        <w:t xml:space="preserve"> renseigné sera considérée </w:t>
      </w:r>
      <w:bookmarkStart w:id="0" w:name="_GoBack"/>
      <w:bookmarkEnd w:id="0"/>
      <w:r w:rsidR="00271466" w:rsidRPr="00BE5AC1">
        <w:rPr>
          <w:rFonts w:asciiTheme="minorHAnsi" w:hAnsiTheme="minorHAnsi" w:cstheme="minorHAnsi"/>
          <w:b/>
          <w:i/>
        </w:rPr>
        <w:t xml:space="preserve">comme équivalent à une </w:t>
      </w:r>
      <w:r w:rsidR="00CC3520">
        <w:rPr>
          <w:rFonts w:asciiTheme="minorHAnsi" w:hAnsiTheme="minorHAnsi" w:cstheme="minorHAnsi"/>
          <w:b/>
          <w:i/>
        </w:rPr>
        <w:t>ristourne</w:t>
      </w:r>
      <w:r w:rsidR="00271466" w:rsidRPr="00BE5AC1">
        <w:rPr>
          <w:rFonts w:asciiTheme="minorHAnsi" w:hAnsiTheme="minorHAnsi" w:cstheme="minorHAnsi"/>
          <w:b/>
          <w:i/>
        </w:rPr>
        <w:t xml:space="preserve"> égale à 0.</w:t>
      </w:r>
    </w:p>
    <w:p w:rsidR="00F7519E" w:rsidRPr="00C92A3D" w:rsidRDefault="00F7519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p w:rsidR="00A925A3" w:rsidRPr="00C92A3D" w:rsidRDefault="00A925A3">
      <w:pPr>
        <w:rPr>
          <w:b/>
          <w:sz w:val="22"/>
          <w:highlight w:val="yellow"/>
        </w:rPr>
      </w:pPr>
    </w:p>
    <w:p w:rsidR="00A925A3" w:rsidRPr="00C92A3D" w:rsidRDefault="00A925A3">
      <w:pPr>
        <w:rPr>
          <w:b/>
          <w:sz w:val="22"/>
          <w:highlight w:val="yellow"/>
        </w:rPr>
      </w:pPr>
    </w:p>
    <w:p w:rsidR="00A925A3" w:rsidRPr="00C92A3D" w:rsidRDefault="00A925A3">
      <w:pPr>
        <w:rPr>
          <w:b/>
          <w:sz w:val="22"/>
          <w:highlight w:val="yellow"/>
        </w:rPr>
      </w:pPr>
    </w:p>
    <w:p w:rsidR="00A925A3" w:rsidRPr="00C92A3D" w:rsidRDefault="00A925A3">
      <w:pPr>
        <w:rPr>
          <w:b/>
          <w:sz w:val="22"/>
          <w:highlight w:val="yellow"/>
        </w:rPr>
      </w:pPr>
    </w:p>
    <w:p w:rsidR="00FE72B5" w:rsidRPr="008329FC" w:rsidRDefault="00A925A3" w:rsidP="00875B15">
      <w:pPr>
        <w:jc w:val="center"/>
        <w:rPr>
          <w:b/>
          <w:u w:val="single"/>
        </w:rPr>
      </w:pPr>
      <w:r w:rsidRPr="008329FC">
        <w:rPr>
          <w:b/>
          <w:u w:val="single"/>
        </w:rPr>
        <w:t xml:space="preserve">Ristourne imposées pour les lots : </w:t>
      </w:r>
    </w:p>
    <w:p w:rsidR="00FE72B5" w:rsidRPr="00E31823" w:rsidRDefault="00C92A3D" w:rsidP="002E4F35">
      <w:pPr>
        <w:rPr>
          <w:b/>
          <w:u w:val="single"/>
        </w:rPr>
      </w:pPr>
      <w:r w:rsidRPr="00E31823">
        <w:rPr>
          <w:b/>
          <w:u w:val="single"/>
        </w:rPr>
        <w:lastRenderedPageBreak/>
        <w:t xml:space="preserve">Lot </w:t>
      </w:r>
      <w:r w:rsidR="00A925A3" w:rsidRPr="00E31823">
        <w:rPr>
          <w:b/>
          <w:u w:val="single"/>
        </w:rPr>
        <w:t xml:space="preserve">: </w:t>
      </w:r>
      <w:r w:rsidR="008329FC" w:rsidRPr="00E31823">
        <w:rPr>
          <w:b/>
          <w:u w:val="single"/>
        </w:rPr>
        <w:t>7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8"/>
        <w:gridCol w:w="1562"/>
        <w:gridCol w:w="1842"/>
        <w:gridCol w:w="2692"/>
      </w:tblGrid>
      <w:tr w:rsidR="002E4F35" w:rsidRPr="00C92A3D" w:rsidTr="008329FC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E4F35" w:rsidRPr="008329FC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8329FC" w:rsidRDefault="00917C1A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74</w:t>
            </w:r>
            <w:r w:rsidR="002E4F35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8329FC" w:rsidRDefault="00917C1A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74 001</w:t>
            </w:r>
            <w:r w:rsidR="002E4F35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€ ≤CA&lt;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141</w:t>
            </w:r>
            <w:r w:rsidR="00875B15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8329FC" w:rsidRDefault="00917C1A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141 001 € ≤CA 282</w:t>
            </w:r>
            <w:r w:rsidR="002E4F35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8329FC" w:rsidRDefault="00917C1A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282 001</w:t>
            </w:r>
          </w:p>
        </w:tc>
      </w:tr>
      <w:tr w:rsidR="002E4F35" w:rsidRPr="00C92A3D" w:rsidTr="008329FC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E4F35" w:rsidRPr="008329FC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% de </w:t>
            </w:r>
            <w:r w:rsidR="00FE72B5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ristourne sur le CA accordé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(% minimum)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8329FC" w:rsidRDefault="00875B1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2E4F35" w:rsidRPr="008329FC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8329FC" w:rsidRDefault="00875B1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2E4F35" w:rsidRPr="008329FC">
              <w:rPr>
                <w:rFonts w:ascii="Corbel" w:hAnsi="Corbel" w:cs="Calibri"/>
                <w:color w:val="000000"/>
                <w:sz w:val="18"/>
                <w:szCs w:val="18"/>
              </w:rPr>
              <w:t>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8329FC" w:rsidRDefault="00875B1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2E4F35" w:rsidRPr="008329FC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8329FC" w:rsidRDefault="00875B1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2E4F35" w:rsidRPr="008329FC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</w:tr>
      <w:tr w:rsidR="002E4F35" w:rsidRPr="00C92A3D" w:rsidTr="008329FC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E4F35" w:rsidRPr="008329FC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</w:t>
            </w:r>
            <w:r w:rsidR="00FE72B5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sur le CA accordé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</w:t>
            </w:r>
            <w:r w:rsidR="0081608F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*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(% proposé par le candidat)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8329F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8329F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8329F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8329F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:rsidR="00A925A3" w:rsidRPr="00E31823" w:rsidRDefault="00C92A3D" w:rsidP="0081608F">
      <w:pPr>
        <w:tabs>
          <w:tab w:val="left" w:pos="9070"/>
        </w:tabs>
        <w:rPr>
          <w:rFonts w:ascii="Corbel" w:hAnsi="Corbel" w:cstheme="majorHAnsi"/>
          <w:b/>
          <w:u w:val="single"/>
        </w:rPr>
      </w:pPr>
      <w:r w:rsidRPr="00E31823">
        <w:rPr>
          <w:rFonts w:ascii="Corbel" w:hAnsi="Corbel" w:cstheme="majorHAnsi"/>
          <w:b/>
          <w:u w:val="single"/>
        </w:rPr>
        <w:t xml:space="preserve">Lot </w:t>
      </w:r>
      <w:r w:rsidR="00A925A3" w:rsidRPr="00E31823">
        <w:rPr>
          <w:rFonts w:ascii="Corbel" w:hAnsi="Corbel" w:cstheme="majorHAnsi"/>
          <w:b/>
          <w:u w:val="single"/>
        </w:rPr>
        <w:t xml:space="preserve">: </w:t>
      </w:r>
      <w:r w:rsidR="008329FC" w:rsidRPr="00E31823">
        <w:rPr>
          <w:rFonts w:ascii="Corbel" w:hAnsi="Corbel" w:cstheme="majorHAnsi"/>
          <w:b/>
          <w:u w:val="single"/>
        </w:rPr>
        <w:t>10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8"/>
        <w:gridCol w:w="1562"/>
        <w:gridCol w:w="1842"/>
        <w:gridCol w:w="2692"/>
      </w:tblGrid>
      <w:tr w:rsidR="00A925A3" w:rsidRPr="00C92A3D" w:rsidTr="008329FC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25A3" w:rsidRPr="008329FC" w:rsidRDefault="00A925A3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8329FC" w:rsidRDefault="006A4B3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276</w:t>
            </w:r>
            <w:r w:rsidR="00A925A3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8329FC" w:rsidRDefault="006A4B3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276 001</w:t>
            </w:r>
            <w:r w:rsidR="00A925A3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€ ≤CA&lt;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524</w:t>
            </w:r>
            <w:r w:rsidR="00A925A3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8329FC" w:rsidRDefault="006A4B3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524 001</w:t>
            </w:r>
            <w:r w:rsidR="00875B15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€ ≤CA 220</w:t>
            </w:r>
            <w:r w:rsidR="00A925A3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8329FC" w:rsidRDefault="006A4B35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1 048</w:t>
            </w:r>
            <w:r w:rsidR="00A925A3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A925A3" w:rsidRPr="00C92A3D" w:rsidTr="008329FC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25A3" w:rsidRPr="008329FC" w:rsidRDefault="00A925A3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8329FC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A925A3" w:rsidRPr="008329FC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8329FC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</w:t>
            </w:r>
            <w:r w:rsidR="00A925A3" w:rsidRPr="008329FC">
              <w:rPr>
                <w:rFonts w:ascii="Corbel" w:hAnsi="Corbel" w:cs="Calibri"/>
                <w:color w:val="000000"/>
                <w:sz w:val="18"/>
                <w:szCs w:val="18"/>
              </w:rPr>
              <w:t>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8329FC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A925A3" w:rsidRPr="008329FC">
              <w:rPr>
                <w:rFonts w:ascii="Corbel" w:hAnsi="Corbel" w:cs="Calibr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8329FC" w:rsidRDefault="00875B15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</w:t>
            </w:r>
            <w:r w:rsidR="00A925A3" w:rsidRPr="008329FC">
              <w:rPr>
                <w:rFonts w:ascii="Corbel" w:hAnsi="Corbel" w:cs="Calibri"/>
                <w:color w:val="000000"/>
                <w:sz w:val="18"/>
                <w:szCs w:val="18"/>
              </w:rPr>
              <w:t>,5 %</w:t>
            </w:r>
          </w:p>
        </w:tc>
      </w:tr>
      <w:tr w:rsidR="00A925A3" w:rsidRPr="00C92A3D" w:rsidTr="008329FC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25A3" w:rsidRPr="008329FC" w:rsidRDefault="00A925A3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8329FC" w:rsidRDefault="00A925A3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8329FC" w:rsidRDefault="00A925A3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A3" w:rsidRPr="008329FC" w:rsidRDefault="00A925A3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5A3" w:rsidRPr="008329FC" w:rsidRDefault="00A925A3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:rsidR="00012F18" w:rsidRPr="00E31823" w:rsidRDefault="008329FC" w:rsidP="0081608F">
      <w:pPr>
        <w:tabs>
          <w:tab w:val="left" w:pos="9070"/>
        </w:tabs>
        <w:rPr>
          <w:rFonts w:ascii="Corbel" w:hAnsi="Corbel" w:cstheme="majorHAnsi"/>
          <w:b/>
          <w:u w:val="single"/>
        </w:rPr>
      </w:pPr>
      <w:r w:rsidRPr="00E31823">
        <w:rPr>
          <w:rFonts w:ascii="Corbel" w:hAnsi="Corbel" w:cstheme="majorHAnsi"/>
          <w:b/>
          <w:u w:val="single"/>
        </w:rPr>
        <w:t>Lot</w:t>
      </w:r>
      <w:r w:rsidR="00012F18" w:rsidRPr="00E31823">
        <w:rPr>
          <w:rFonts w:ascii="Corbel" w:hAnsi="Corbel" w:cstheme="majorHAnsi"/>
          <w:b/>
          <w:u w:val="single"/>
        </w:rPr>
        <w:t xml:space="preserve"> : </w:t>
      </w:r>
      <w:r w:rsidRPr="00E31823">
        <w:rPr>
          <w:rFonts w:ascii="Corbel" w:hAnsi="Corbel" w:cstheme="majorHAnsi"/>
          <w:b/>
          <w:u w:val="single"/>
        </w:rPr>
        <w:t>11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562"/>
        <w:gridCol w:w="1842"/>
        <w:gridCol w:w="2694"/>
      </w:tblGrid>
      <w:tr w:rsidR="00012F18" w:rsidRPr="00C92A3D" w:rsidTr="008329FC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12F18" w:rsidRPr="008329FC" w:rsidRDefault="00012F18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F18" w:rsidRPr="008329FC" w:rsidRDefault="00E31823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40</w:t>
            </w:r>
            <w:r w:rsidR="00012F18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18" w:rsidRPr="008329FC" w:rsidRDefault="00E31823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40 001</w:t>
            </w:r>
            <w:r w:rsidR="00012F18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€ ≤CA&lt; &gt; à 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76 </w:t>
            </w:r>
            <w:r w:rsidR="00012F18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18" w:rsidRPr="008329FC" w:rsidRDefault="00E31823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76 001 € ≤CA 152</w:t>
            </w:r>
            <w:r w:rsidR="00012F18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F18" w:rsidRPr="008329FC" w:rsidRDefault="00E31823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152  001</w:t>
            </w:r>
          </w:p>
        </w:tc>
      </w:tr>
      <w:tr w:rsidR="00012F18" w:rsidRPr="00C92A3D" w:rsidTr="008329FC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12F18" w:rsidRPr="008329FC" w:rsidRDefault="00012F18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F18" w:rsidRPr="008329FC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18" w:rsidRPr="008329FC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18" w:rsidRPr="008329FC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F18" w:rsidRPr="008329FC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1,5 %</w:t>
            </w:r>
          </w:p>
        </w:tc>
      </w:tr>
      <w:tr w:rsidR="00012F18" w:rsidRPr="00A925A3" w:rsidTr="008329FC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12F18" w:rsidRPr="008329FC" w:rsidRDefault="00012F18" w:rsidP="000F7536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F18" w:rsidRPr="008329FC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18" w:rsidRPr="008329FC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18" w:rsidRPr="008329FC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F18" w:rsidRPr="008329FC" w:rsidRDefault="00012F18" w:rsidP="000F7536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:rsidR="00012F18" w:rsidRDefault="00012F18" w:rsidP="00FB64A4">
      <w:pPr>
        <w:tabs>
          <w:tab w:val="left" w:pos="9070"/>
        </w:tabs>
        <w:spacing w:before="0" w:after="0"/>
        <w:rPr>
          <w:rFonts w:ascii="Corbel" w:hAnsi="Corbel" w:cstheme="majorHAnsi"/>
        </w:rPr>
      </w:pPr>
    </w:p>
    <w:p w:rsidR="00FB64A4" w:rsidRPr="00BE5AC1" w:rsidRDefault="00FB64A4" w:rsidP="00FB64A4">
      <w:pPr>
        <w:spacing w:before="0" w:after="0"/>
        <w:rPr>
          <w:rFonts w:asciiTheme="minorHAnsi" w:hAnsiTheme="minorHAnsi" w:cstheme="minorHAnsi"/>
          <w:b/>
          <w:i/>
        </w:rPr>
      </w:pPr>
      <w:r w:rsidRPr="0081608F">
        <w:rPr>
          <w:rFonts w:ascii="Corbel" w:hAnsi="Corbel" w:cstheme="majorHAnsi"/>
          <w:sz w:val="18"/>
        </w:rPr>
        <w:t>*</w:t>
      </w:r>
      <w:r w:rsidRPr="009B4356">
        <w:rPr>
          <w:rFonts w:asciiTheme="minorHAnsi" w:hAnsiTheme="minorHAnsi" w:cstheme="minorHAnsi"/>
          <w:b/>
          <w:i/>
        </w:rPr>
        <w:t xml:space="preserve"> </w:t>
      </w:r>
      <w:r w:rsidRPr="00BE5AC1">
        <w:rPr>
          <w:rFonts w:asciiTheme="minorHAnsi" w:hAnsiTheme="minorHAnsi" w:cstheme="minorHAnsi"/>
          <w:b/>
          <w:i/>
        </w:rPr>
        <w:t>En cas d’absence de remise du document renseigné les taux de ristourne indiqués en annexe seront appliqués</w:t>
      </w:r>
      <w:r>
        <w:rPr>
          <w:rFonts w:asciiTheme="minorHAnsi" w:hAnsiTheme="minorHAnsi" w:cstheme="minorHAnsi"/>
          <w:b/>
          <w:i/>
        </w:rPr>
        <w:t>.</w:t>
      </w:r>
    </w:p>
    <w:p w:rsidR="00FB64A4" w:rsidRPr="00BE5AC1" w:rsidRDefault="00FB64A4" w:rsidP="00FB64A4">
      <w:pPr>
        <w:spacing w:before="0" w:after="0"/>
        <w:rPr>
          <w:rFonts w:asciiTheme="minorHAnsi" w:hAnsiTheme="minorHAnsi" w:cstheme="minorHAnsi"/>
          <w:b/>
          <w:i/>
        </w:rPr>
      </w:pPr>
      <w:r w:rsidRPr="00BE5AC1">
        <w:rPr>
          <w:rFonts w:asciiTheme="minorHAnsi" w:hAnsiTheme="minorHAnsi" w:cstheme="minorHAnsi"/>
          <w:b/>
          <w:i/>
        </w:rPr>
        <w:t xml:space="preserve">En cas de modification des taux à la baisse ou de suppression de ces derniers </w:t>
      </w:r>
      <w:r w:rsidRPr="009B4356">
        <w:rPr>
          <w:rFonts w:asciiTheme="minorHAnsi" w:hAnsiTheme="minorHAnsi" w:cstheme="minorHAnsi"/>
          <w:b/>
          <w:i/>
          <w:color w:val="FF0000"/>
        </w:rPr>
        <w:t>l’offre sera déclarée irrégulière</w:t>
      </w:r>
    </w:p>
    <w:p w:rsidR="00FE72B5" w:rsidRPr="0096428F" w:rsidRDefault="00FE72B5" w:rsidP="000B18BE">
      <w:pPr>
        <w:rPr>
          <w:sz w:val="18"/>
          <w:szCs w:val="18"/>
          <w:u w:val="single"/>
        </w:rPr>
      </w:pPr>
    </w:p>
    <w:p w:rsidR="000B18BE" w:rsidRPr="0096428F" w:rsidRDefault="000B18BE" w:rsidP="000B18BE">
      <w:pPr>
        <w:rPr>
          <w:sz w:val="18"/>
          <w:szCs w:val="18"/>
          <w:u w:val="single"/>
        </w:rPr>
      </w:pPr>
      <w:r w:rsidRPr="0096428F">
        <w:rPr>
          <w:sz w:val="18"/>
          <w:szCs w:val="18"/>
          <w:u w:val="single"/>
        </w:rPr>
        <w:t>Nom du candidat :</w:t>
      </w:r>
    </w:p>
    <w:p w:rsidR="00F7519E" w:rsidRDefault="00F7519E"/>
    <w:sectPr w:rsidR="00F7519E" w:rsidSect="00A111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8BE" w:rsidRDefault="00D850D7">
    <w:pPr>
      <w:pStyle w:val="Pieddepage"/>
    </w:pPr>
    <w:r>
      <w:t xml:space="preserve">Secteur Juridique – </w:t>
    </w:r>
    <w:r w:rsidR="00142982">
      <w:t xml:space="preserve"> </w:t>
    </w:r>
    <w:r w:rsidR="0077781E">
      <w:t>24</w:t>
    </w:r>
    <w:r w:rsidR="002E4F35">
      <w:t>/03/2025</w:t>
    </w:r>
    <w:r w:rsidR="00142982">
      <w:t xml:space="preserve"> </w:t>
    </w:r>
  </w:p>
  <w:p w:rsidR="00E019DC" w:rsidRDefault="00E019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19E" w:rsidRPr="005C6ED2" w:rsidRDefault="00BF4125" w:rsidP="0092660B">
    <w:pPr>
      <w:shd w:val="clear" w:color="auto" w:fill="DBE5F1" w:themeFill="accent1" w:themeFillTint="33"/>
      <w:spacing w:before="0" w:after="0" w:line="240" w:lineRule="auto"/>
      <w:jc w:val="center"/>
      <w:rPr>
        <w:rFonts w:cs="Calibri"/>
        <w:color w:val="000000"/>
        <w:sz w:val="28"/>
        <w:szCs w:val="28"/>
        <w:lang w:eastAsia="fr-FR"/>
      </w:rPr>
    </w:pPr>
    <w:r>
      <w:rPr>
        <w:noProof/>
        <w:lang w:eastAsia="fr-FR"/>
      </w:rPr>
      <w:drawing>
        <wp:inline distT="0" distB="0" distL="0" distR="0" wp14:anchorId="13BE0C95" wp14:editId="7CF57283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19E" w:rsidRPr="005C6ED2">
      <w:rPr>
        <w:rFonts w:cs="Calibri"/>
        <w:b/>
        <w:sz w:val="28"/>
        <w:szCs w:val="28"/>
      </w:rPr>
      <w:t xml:space="preserve">AFFAIRE </w:t>
    </w:r>
    <w:r w:rsidR="009E6C3F">
      <w:rPr>
        <w:rFonts w:cs="Calibri"/>
        <w:b/>
        <w:sz w:val="28"/>
        <w:szCs w:val="28"/>
      </w:rPr>
      <w:t>25A0199</w:t>
    </w:r>
  </w:p>
  <w:p w:rsidR="009E6C3F" w:rsidRPr="009E6C3F" w:rsidRDefault="005C357C" w:rsidP="009E6C3F">
    <w:pPr>
      <w:shd w:val="clear" w:color="auto" w:fill="DBE5F1" w:themeFill="accent1" w:themeFillTint="33"/>
      <w:jc w:val="center"/>
      <w:rPr>
        <w:rFonts w:cs="Arial"/>
        <w:b/>
        <w:sz w:val="24"/>
      </w:rPr>
    </w:pPr>
    <w:r w:rsidRPr="005C357C">
      <w:rPr>
        <w:rFonts w:cs="Arial"/>
        <w:b/>
        <w:sz w:val="24"/>
      </w:rPr>
      <w:t xml:space="preserve">FOURNITURE DE DISPOSITIFS </w:t>
    </w:r>
    <w:r w:rsidR="009E6C3F" w:rsidRPr="009E6C3F">
      <w:rPr>
        <w:rFonts w:cs="Arial"/>
        <w:b/>
        <w:sz w:val="24"/>
      </w:rPr>
      <w:t xml:space="preserve">MEDICAUX STERILES DIVERS POUR LE CHU DE MONTPELLIER </w:t>
    </w:r>
  </w:p>
  <w:p w:rsidR="009E6C3F" w:rsidRDefault="009E6C3F" w:rsidP="009E6C3F">
    <w:pPr>
      <w:shd w:val="clear" w:color="auto" w:fill="DBE5F1" w:themeFill="accent1" w:themeFillTint="33"/>
      <w:jc w:val="center"/>
      <w:rPr>
        <w:rFonts w:cs="Arial"/>
        <w:b/>
        <w:sz w:val="24"/>
      </w:rPr>
    </w:pPr>
    <w:r w:rsidRPr="009E6C3F">
      <w:rPr>
        <w:rFonts w:cs="Arial"/>
        <w:b/>
        <w:sz w:val="24"/>
      </w:rPr>
      <w:t>ETABLISSEMENT SUPPORT DU GHT DE L’EST HERAULT ET DU SUD AVEYRON</w:t>
    </w:r>
  </w:p>
  <w:p w:rsidR="006648AC" w:rsidRPr="0092660B" w:rsidRDefault="0092660B" w:rsidP="009E6C3F">
    <w:pPr>
      <w:shd w:val="clear" w:color="auto" w:fill="DBE5F1" w:themeFill="accent1" w:themeFillTint="33"/>
      <w:jc w:val="center"/>
      <w:rPr>
        <w:rFonts w:cs="Arial"/>
        <w:sz w:val="24"/>
        <w:u w:val="single"/>
      </w:rPr>
    </w:pPr>
    <w:r w:rsidRPr="0092660B">
      <w:rPr>
        <w:rFonts w:cs="Arial"/>
        <w:sz w:val="24"/>
        <w:u w:val="single"/>
      </w:rPr>
      <w:t>ANNEXE 2</w:t>
    </w:r>
    <w:r w:rsidR="006648AC" w:rsidRPr="0092660B">
      <w:rPr>
        <w:rFonts w:cs="Arial"/>
        <w:sz w:val="24"/>
        <w:u w:val="single"/>
      </w:rPr>
      <w:t xml:space="preserve"> à L’acte d’engagement </w:t>
    </w:r>
  </w:p>
  <w:p w:rsidR="00F7519E" w:rsidRPr="00196F78" w:rsidRDefault="00F7519E" w:rsidP="0092660B">
    <w:pPr>
      <w:shd w:val="clear" w:color="auto" w:fill="DBE5F1" w:themeFill="accent1" w:themeFillTint="33"/>
      <w:jc w:val="center"/>
      <w:rPr>
        <w:rFonts w:cs="Calibri"/>
        <w:b/>
      </w:rPr>
    </w:pPr>
  </w:p>
  <w:p w:rsidR="00F7519E" w:rsidRDefault="00F7519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2A"/>
    <w:rsid w:val="00012F18"/>
    <w:rsid w:val="000679C7"/>
    <w:rsid w:val="000B18BE"/>
    <w:rsid w:val="001219E3"/>
    <w:rsid w:val="00137472"/>
    <w:rsid w:val="00142982"/>
    <w:rsid w:val="0015781B"/>
    <w:rsid w:val="00171015"/>
    <w:rsid w:val="00196F78"/>
    <w:rsid w:val="00217CB8"/>
    <w:rsid w:val="00271466"/>
    <w:rsid w:val="002E4F35"/>
    <w:rsid w:val="00364DCE"/>
    <w:rsid w:val="00484CE3"/>
    <w:rsid w:val="00486247"/>
    <w:rsid w:val="00566741"/>
    <w:rsid w:val="005C357C"/>
    <w:rsid w:val="005C6ED2"/>
    <w:rsid w:val="005F5667"/>
    <w:rsid w:val="00612141"/>
    <w:rsid w:val="0066185D"/>
    <w:rsid w:val="006648AC"/>
    <w:rsid w:val="0067464A"/>
    <w:rsid w:val="006A4B35"/>
    <w:rsid w:val="006E76B2"/>
    <w:rsid w:val="006F41D2"/>
    <w:rsid w:val="007209A3"/>
    <w:rsid w:val="007235F8"/>
    <w:rsid w:val="0073392A"/>
    <w:rsid w:val="00753AED"/>
    <w:rsid w:val="0077781E"/>
    <w:rsid w:val="007C3186"/>
    <w:rsid w:val="0081608F"/>
    <w:rsid w:val="008329FC"/>
    <w:rsid w:val="00875B15"/>
    <w:rsid w:val="008D34DB"/>
    <w:rsid w:val="008D76A3"/>
    <w:rsid w:val="008F6207"/>
    <w:rsid w:val="00917C1A"/>
    <w:rsid w:val="0092660B"/>
    <w:rsid w:val="00930A1B"/>
    <w:rsid w:val="0096428F"/>
    <w:rsid w:val="009B27F9"/>
    <w:rsid w:val="009E6C3F"/>
    <w:rsid w:val="00A11197"/>
    <w:rsid w:val="00A11D5E"/>
    <w:rsid w:val="00A925A3"/>
    <w:rsid w:val="00AB1D12"/>
    <w:rsid w:val="00BD146D"/>
    <w:rsid w:val="00BF4125"/>
    <w:rsid w:val="00C8733A"/>
    <w:rsid w:val="00C92A3D"/>
    <w:rsid w:val="00CC3520"/>
    <w:rsid w:val="00CC488D"/>
    <w:rsid w:val="00D850D7"/>
    <w:rsid w:val="00DC56F8"/>
    <w:rsid w:val="00DD66E8"/>
    <w:rsid w:val="00DE7FCD"/>
    <w:rsid w:val="00E019DC"/>
    <w:rsid w:val="00E31823"/>
    <w:rsid w:val="00E951D4"/>
    <w:rsid w:val="00EA293A"/>
    <w:rsid w:val="00F66580"/>
    <w:rsid w:val="00F7519E"/>
    <w:rsid w:val="00FB64A4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D9D7D35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2B5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paragraph" w:customStyle="1" w:styleId="RedTxt">
    <w:name w:val="RedTxt"/>
    <w:basedOn w:val="Normal"/>
    <w:link w:val="RedTxtCar"/>
    <w:rsid w:val="0081608F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81608F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364D9C-A8CC-4376-80F1-B85A1AA5D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6A87D7-7B4E-41D5-9883-714E36DB3F79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3.xml><?xml version="1.0" encoding="utf-8"?>
<ds:datastoreItem xmlns:ds="http://schemas.openxmlformats.org/officeDocument/2006/customXml" ds:itemID="{6FB42A56-743B-4FE3-B0B5-7DB60FBEA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331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OUALI ANOUK</cp:lastModifiedBy>
  <cp:revision>27</cp:revision>
  <dcterms:created xsi:type="dcterms:W3CDTF">2017-10-23T11:59:00Z</dcterms:created>
  <dcterms:modified xsi:type="dcterms:W3CDTF">2025-07-23T12:07:00Z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